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A13E1" w14:textId="3262A2BC" w:rsidR="00F2717A" w:rsidRPr="009E30EB" w:rsidRDefault="00F2717A" w:rsidP="009E30EB">
      <w:pPr>
        <w:jc w:val="center"/>
        <w:rPr>
          <w:b/>
          <w:bCs/>
          <w:spacing w:val="-14"/>
        </w:rPr>
      </w:pPr>
      <w:bookmarkStart w:id="0" w:name="_Hlk199257207"/>
      <w:r w:rsidRPr="009E30EB">
        <w:rPr>
          <w:b/>
          <w:bCs/>
          <w:spacing w:val="-14"/>
        </w:rPr>
        <w:t>DANH SÁCH</w:t>
      </w:r>
      <w:r w:rsidR="009E30EB" w:rsidRPr="009E30EB">
        <w:rPr>
          <w:b/>
          <w:bCs/>
          <w:spacing w:val="-14"/>
        </w:rPr>
        <w:t xml:space="preserve"> CƠ SỞ PHÁT HÀNH TRÊN ĐỊA BÀN TỈNH THÁI NGUYÊN </w:t>
      </w:r>
    </w:p>
    <w:tbl>
      <w:tblPr>
        <w:tblStyle w:val="TableGrid"/>
        <w:tblW w:w="9493" w:type="dxa"/>
        <w:tblLook w:val="04A0" w:firstRow="1" w:lastRow="0" w:firstColumn="1" w:lastColumn="0" w:noHBand="0" w:noVBand="1"/>
      </w:tblPr>
      <w:tblGrid>
        <w:gridCol w:w="746"/>
        <w:gridCol w:w="3785"/>
        <w:gridCol w:w="2835"/>
        <w:gridCol w:w="2127"/>
      </w:tblGrid>
      <w:tr w:rsidR="00F2717A" w:rsidRPr="0077076F" w14:paraId="5E029434" w14:textId="77777777" w:rsidTr="00D41E96">
        <w:trPr>
          <w:trHeight w:val="704"/>
        </w:trPr>
        <w:tc>
          <w:tcPr>
            <w:tcW w:w="746" w:type="dxa"/>
            <w:vAlign w:val="center"/>
          </w:tcPr>
          <w:p w14:paraId="55E95FC6" w14:textId="77777777" w:rsidR="00F2717A" w:rsidRPr="0077076F" w:rsidRDefault="00F2717A" w:rsidP="00F2717A">
            <w:pPr>
              <w:spacing w:line="240" w:lineRule="auto"/>
              <w:jc w:val="center"/>
              <w:rPr>
                <w:rFonts w:cs="Times New Roman"/>
                <w:b/>
                <w:sz w:val="26"/>
                <w:szCs w:val="26"/>
              </w:rPr>
            </w:pPr>
            <w:r w:rsidRPr="0077076F">
              <w:rPr>
                <w:rFonts w:cs="Times New Roman"/>
                <w:b/>
                <w:sz w:val="26"/>
                <w:szCs w:val="26"/>
              </w:rPr>
              <w:t>STT</w:t>
            </w:r>
          </w:p>
        </w:tc>
        <w:tc>
          <w:tcPr>
            <w:tcW w:w="3785" w:type="dxa"/>
            <w:vAlign w:val="center"/>
          </w:tcPr>
          <w:p w14:paraId="750C223E" w14:textId="77777777" w:rsidR="00F2717A" w:rsidRPr="0077076F" w:rsidRDefault="00F2717A" w:rsidP="00F2717A">
            <w:pPr>
              <w:spacing w:line="240" w:lineRule="auto"/>
              <w:jc w:val="center"/>
              <w:rPr>
                <w:rFonts w:cs="Times New Roman"/>
                <w:b/>
                <w:sz w:val="26"/>
                <w:szCs w:val="26"/>
                <w:lang w:val="en-US"/>
              </w:rPr>
            </w:pPr>
            <w:r w:rsidRPr="0077076F">
              <w:rPr>
                <w:rFonts w:cs="Times New Roman"/>
                <w:b/>
                <w:sz w:val="26"/>
                <w:szCs w:val="26"/>
                <w:lang w:val="en-US"/>
              </w:rPr>
              <w:t>Tên cơ sở phát hành</w:t>
            </w:r>
          </w:p>
        </w:tc>
        <w:tc>
          <w:tcPr>
            <w:tcW w:w="2835" w:type="dxa"/>
            <w:vAlign w:val="center"/>
          </w:tcPr>
          <w:p w14:paraId="6D8A9344" w14:textId="77777777" w:rsidR="00F2717A" w:rsidRPr="0077076F" w:rsidRDefault="00F2717A" w:rsidP="00F2717A">
            <w:pPr>
              <w:spacing w:line="240" w:lineRule="auto"/>
              <w:jc w:val="center"/>
              <w:rPr>
                <w:rFonts w:cs="Times New Roman"/>
                <w:b/>
                <w:sz w:val="26"/>
                <w:szCs w:val="26"/>
                <w:lang w:val="en-US"/>
              </w:rPr>
            </w:pPr>
            <w:r w:rsidRPr="0077076F">
              <w:rPr>
                <w:rFonts w:cs="Times New Roman"/>
                <w:b/>
                <w:sz w:val="26"/>
                <w:szCs w:val="26"/>
              </w:rPr>
              <w:t>Địa chỉ</w:t>
            </w:r>
          </w:p>
        </w:tc>
        <w:tc>
          <w:tcPr>
            <w:tcW w:w="2127" w:type="dxa"/>
            <w:vAlign w:val="center"/>
          </w:tcPr>
          <w:p w14:paraId="78408386" w14:textId="77777777" w:rsidR="00F2717A" w:rsidRPr="0077076F" w:rsidRDefault="00F2717A" w:rsidP="00F2717A">
            <w:pPr>
              <w:spacing w:line="240" w:lineRule="auto"/>
              <w:jc w:val="center"/>
              <w:rPr>
                <w:rFonts w:cs="Times New Roman"/>
                <w:b/>
                <w:sz w:val="26"/>
                <w:szCs w:val="26"/>
                <w:lang w:val="en-US"/>
              </w:rPr>
            </w:pPr>
            <w:r w:rsidRPr="0077076F">
              <w:rPr>
                <w:rFonts w:cs="Times New Roman"/>
                <w:b/>
                <w:sz w:val="26"/>
                <w:szCs w:val="26"/>
                <w:lang w:val="en-US"/>
              </w:rPr>
              <w:t>SĐT</w:t>
            </w:r>
          </w:p>
        </w:tc>
      </w:tr>
      <w:tr w:rsidR="00F2717A" w:rsidRPr="0077076F" w14:paraId="3A114E2A" w14:textId="77777777" w:rsidTr="00D41E96">
        <w:tc>
          <w:tcPr>
            <w:tcW w:w="746" w:type="dxa"/>
            <w:vAlign w:val="center"/>
          </w:tcPr>
          <w:p w14:paraId="23FC77B8" w14:textId="77777777" w:rsidR="00F2717A" w:rsidRPr="0077076F" w:rsidRDefault="00F2717A" w:rsidP="00F2717A">
            <w:pPr>
              <w:spacing w:line="240" w:lineRule="auto"/>
              <w:jc w:val="center"/>
              <w:rPr>
                <w:rFonts w:cs="Times New Roman"/>
                <w:sz w:val="26"/>
                <w:szCs w:val="26"/>
                <w:lang w:val="en-US"/>
              </w:rPr>
            </w:pPr>
            <w:r>
              <w:rPr>
                <w:rFonts w:cs="Times New Roman"/>
                <w:sz w:val="26"/>
                <w:szCs w:val="26"/>
                <w:lang w:val="en-US"/>
              </w:rPr>
              <w:t>1</w:t>
            </w:r>
          </w:p>
        </w:tc>
        <w:tc>
          <w:tcPr>
            <w:tcW w:w="3785" w:type="dxa"/>
            <w:vAlign w:val="center"/>
          </w:tcPr>
          <w:p w14:paraId="278985BE" w14:textId="77777777" w:rsidR="00F2717A" w:rsidRPr="004507DC" w:rsidRDefault="00F2717A" w:rsidP="00F2717A">
            <w:pPr>
              <w:spacing w:line="240" w:lineRule="auto"/>
              <w:rPr>
                <w:rFonts w:cs="Times New Roman"/>
                <w:spacing w:val="-4"/>
                <w:sz w:val="26"/>
                <w:szCs w:val="26"/>
              </w:rPr>
            </w:pPr>
            <w:r w:rsidRPr="0077076F">
              <w:rPr>
                <w:rFonts w:cs="Times New Roman"/>
                <w:sz w:val="26"/>
                <w:szCs w:val="26"/>
              </w:rPr>
              <w:t xml:space="preserve">Công ty Cổ phần Sách và Thiết bị trường học </w:t>
            </w:r>
            <w:r w:rsidRPr="0077076F">
              <w:rPr>
                <w:rFonts w:cs="Times New Roman"/>
                <w:sz w:val="26"/>
                <w:szCs w:val="26"/>
                <w:lang w:val="en-US"/>
              </w:rPr>
              <w:t>Thái Nguyên</w:t>
            </w:r>
          </w:p>
        </w:tc>
        <w:tc>
          <w:tcPr>
            <w:tcW w:w="2835" w:type="dxa"/>
            <w:vAlign w:val="center"/>
          </w:tcPr>
          <w:p w14:paraId="61DC90D4" w14:textId="77777777" w:rsidR="00F2717A" w:rsidRPr="005A3DA3" w:rsidRDefault="00F2717A" w:rsidP="00F2717A">
            <w:pPr>
              <w:spacing w:line="240" w:lineRule="auto"/>
              <w:rPr>
                <w:rFonts w:cs="Times New Roman"/>
                <w:sz w:val="26"/>
                <w:szCs w:val="26"/>
                <w:lang w:val="en-US"/>
              </w:rPr>
            </w:pPr>
            <w:r>
              <w:rPr>
                <w:rFonts w:cs="Times New Roman"/>
                <w:sz w:val="26"/>
                <w:szCs w:val="26"/>
                <w:lang w:val="en-US"/>
              </w:rPr>
              <w:t>Số 7 đường Tân Quang, phường Gia Sàng, tỉnh Thái Nguyên</w:t>
            </w:r>
          </w:p>
        </w:tc>
        <w:tc>
          <w:tcPr>
            <w:tcW w:w="2127" w:type="dxa"/>
            <w:vAlign w:val="center"/>
          </w:tcPr>
          <w:p w14:paraId="65AD07CE" w14:textId="77777777" w:rsidR="00F2717A" w:rsidRPr="002A0E6D" w:rsidRDefault="00F2717A" w:rsidP="00F2717A">
            <w:pPr>
              <w:spacing w:before="120" w:after="120" w:line="240" w:lineRule="auto"/>
              <w:jc w:val="center"/>
              <w:rPr>
                <w:rFonts w:cs="Times New Roman"/>
                <w:bCs/>
                <w:sz w:val="26"/>
                <w:szCs w:val="26"/>
                <w:lang w:val="en-US"/>
              </w:rPr>
            </w:pPr>
            <w:r>
              <w:rPr>
                <w:rFonts w:cs="Times New Roman"/>
                <w:bCs/>
                <w:sz w:val="26"/>
                <w:szCs w:val="26"/>
                <w:lang w:val="en-US"/>
              </w:rPr>
              <w:t>0912.663.186</w:t>
            </w:r>
          </w:p>
        </w:tc>
      </w:tr>
      <w:tr w:rsidR="00F2717A" w:rsidRPr="0077076F" w14:paraId="32B949C4" w14:textId="77777777" w:rsidTr="00D41E96">
        <w:tc>
          <w:tcPr>
            <w:tcW w:w="746" w:type="dxa"/>
            <w:vAlign w:val="center"/>
          </w:tcPr>
          <w:p w14:paraId="44F0836A" w14:textId="77777777" w:rsidR="00F2717A" w:rsidRPr="004507DC" w:rsidRDefault="00F2717A" w:rsidP="00F2717A">
            <w:pPr>
              <w:spacing w:line="240" w:lineRule="auto"/>
              <w:jc w:val="center"/>
              <w:rPr>
                <w:rFonts w:cs="Times New Roman"/>
                <w:sz w:val="26"/>
                <w:szCs w:val="26"/>
                <w:lang w:val="en-US"/>
              </w:rPr>
            </w:pPr>
            <w:r>
              <w:rPr>
                <w:rFonts w:cs="Times New Roman"/>
                <w:sz w:val="26"/>
                <w:szCs w:val="26"/>
                <w:lang w:val="en-US"/>
              </w:rPr>
              <w:t>2</w:t>
            </w:r>
          </w:p>
        </w:tc>
        <w:tc>
          <w:tcPr>
            <w:tcW w:w="3785" w:type="dxa"/>
            <w:vAlign w:val="center"/>
          </w:tcPr>
          <w:p w14:paraId="59EE5166" w14:textId="77777777" w:rsidR="00F2717A" w:rsidRPr="0077076F" w:rsidRDefault="00F2717A" w:rsidP="00F2717A">
            <w:pPr>
              <w:spacing w:line="240" w:lineRule="auto"/>
              <w:rPr>
                <w:rFonts w:cs="Times New Roman"/>
                <w:sz w:val="26"/>
                <w:szCs w:val="26"/>
                <w:shd w:val="clear" w:color="auto" w:fill="FFFFFF"/>
                <w:lang w:val="en-US"/>
              </w:rPr>
            </w:pPr>
            <w:r w:rsidRPr="0077076F">
              <w:rPr>
                <w:rFonts w:cs="Times New Roman"/>
                <w:sz w:val="26"/>
                <w:szCs w:val="26"/>
                <w:shd w:val="clear" w:color="auto" w:fill="FFFFFF"/>
                <w:lang w:val="en-US"/>
              </w:rPr>
              <w:t>Công ty cổ phần Văn hóa và Giáo dục Tân Việt chi nhánh Thái Nguyên chi nhánh Thái Nguyên</w:t>
            </w:r>
          </w:p>
          <w:p w14:paraId="26B5925E" w14:textId="77777777" w:rsidR="00F2717A" w:rsidRPr="0077076F" w:rsidRDefault="00F2717A" w:rsidP="00F2717A">
            <w:pPr>
              <w:spacing w:line="240" w:lineRule="auto"/>
              <w:rPr>
                <w:rFonts w:cs="Times New Roman"/>
                <w:sz w:val="26"/>
                <w:szCs w:val="26"/>
              </w:rPr>
            </w:pPr>
          </w:p>
        </w:tc>
        <w:tc>
          <w:tcPr>
            <w:tcW w:w="2835" w:type="dxa"/>
          </w:tcPr>
          <w:p w14:paraId="1EBCF199" w14:textId="77777777" w:rsidR="00F2717A" w:rsidRPr="0077076F" w:rsidRDefault="00F2717A" w:rsidP="00F2717A">
            <w:pPr>
              <w:spacing w:line="240" w:lineRule="auto"/>
              <w:rPr>
                <w:rFonts w:cs="Times New Roman"/>
                <w:spacing w:val="-4"/>
                <w:sz w:val="26"/>
                <w:szCs w:val="26"/>
                <w:lang w:val="en-US"/>
              </w:rPr>
            </w:pPr>
            <w:r w:rsidRPr="0077076F">
              <w:rPr>
                <w:rFonts w:cs="Times New Roman"/>
                <w:sz w:val="26"/>
                <w:szCs w:val="26"/>
                <w:shd w:val="clear" w:color="auto" w:fill="FFFFFF"/>
                <w:lang w:val="en-US"/>
              </w:rPr>
              <w:t>Tầng 3, Trung tâm thương mại Vincom Thái Nguyên, số 286, Đường Lương Ngọc Quyến, phường Phan Đình Phùng, tỉnh Thái Nguyên (trước là Phường Quang Trung, thành phố Thái Nguyên)</w:t>
            </w:r>
          </w:p>
        </w:tc>
        <w:tc>
          <w:tcPr>
            <w:tcW w:w="2127" w:type="dxa"/>
            <w:vAlign w:val="center"/>
          </w:tcPr>
          <w:p w14:paraId="518D3F11" w14:textId="77777777" w:rsidR="00F2717A" w:rsidRPr="0077076F" w:rsidRDefault="00F2717A" w:rsidP="00F2717A">
            <w:pPr>
              <w:spacing w:before="120" w:after="120" w:line="240" w:lineRule="auto"/>
              <w:rPr>
                <w:rFonts w:cs="Times New Roman"/>
                <w:sz w:val="26"/>
                <w:szCs w:val="26"/>
              </w:rPr>
            </w:pPr>
          </w:p>
        </w:tc>
      </w:tr>
      <w:tr w:rsidR="00F2717A" w:rsidRPr="0077076F" w14:paraId="454827F7" w14:textId="77777777" w:rsidTr="00D41E96">
        <w:tc>
          <w:tcPr>
            <w:tcW w:w="746" w:type="dxa"/>
            <w:vAlign w:val="center"/>
          </w:tcPr>
          <w:p w14:paraId="094FAED6" w14:textId="77777777" w:rsidR="00F2717A" w:rsidRPr="0077076F" w:rsidRDefault="00F2717A" w:rsidP="00F2717A">
            <w:pPr>
              <w:spacing w:line="240" w:lineRule="auto"/>
              <w:jc w:val="center"/>
              <w:rPr>
                <w:rFonts w:cs="Times New Roman"/>
                <w:sz w:val="26"/>
                <w:szCs w:val="26"/>
                <w:lang w:val="en-US"/>
              </w:rPr>
            </w:pPr>
            <w:r w:rsidRPr="0077076F">
              <w:rPr>
                <w:rFonts w:cs="Times New Roman"/>
                <w:sz w:val="26"/>
                <w:szCs w:val="26"/>
                <w:lang w:val="en-US"/>
              </w:rPr>
              <w:t>3</w:t>
            </w:r>
          </w:p>
        </w:tc>
        <w:tc>
          <w:tcPr>
            <w:tcW w:w="3785" w:type="dxa"/>
            <w:vAlign w:val="center"/>
          </w:tcPr>
          <w:p w14:paraId="50F2F7EC" w14:textId="77777777" w:rsidR="00F2717A" w:rsidRPr="0077076F" w:rsidRDefault="00F2717A" w:rsidP="00F2717A">
            <w:pPr>
              <w:spacing w:line="240" w:lineRule="auto"/>
              <w:rPr>
                <w:rFonts w:cs="Times New Roman"/>
                <w:sz w:val="26"/>
                <w:szCs w:val="26"/>
                <w:shd w:val="clear" w:color="auto" w:fill="FFFFFF"/>
                <w:lang w:val="en-US"/>
              </w:rPr>
            </w:pPr>
            <w:r w:rsidRPr="0077076F">
              <w:rPr>
                <w:rFonts w:cs="Times New Roman"/>
                <w:sz w:val="26"/>
                <w:szCs w:val="26"/>
                <w:shd w:val="clear" w:color="auto" w:fill="FFFFFF"/>
                <w:lang w:val="en-US"/>
              </w:rPr>
              <w:t>Công ty cổ phần Văn hóa và Giáo dục Tân Việt chi nhánh Thái Nguyên chi nhánh Bắc K</w:t>
            </w:r>
            <w:r>
              <w:rPr>
                <w:rFonts w:cs="Times New Roman"/>
                <w:sz w:val="26"/>
                <w:szCs w:val="26"/>
                <w:shd w:val="clear" w:color="auto" w:fill="FFFFFF"/>
                <w:lang w:val="en-US"/>
              </w:rPr>
              <w:t>ạn</w:t>
            </w:r>
          </w:p>
          <w:p w14:paraId="141DEAB5" w14:textId="77777777" w:rsidR="00F2717A" w:rsidRPr="0077076F" w:rsidRDefault="00F2717A" w:rsidP="00F2717A">
            <w:pPr>
              <w:spacing w:line="240" w:lineRule="auto"/>
              <w:rPr>
                <w:rFonts w:cs="Times New Roman"/>
                <w:sz w:val="26"/>
                <w:szCs w:val="26"/>
                <w:shd w:val="clear" w:color="auto" w:fill="FFFFFF"/>
                <w:lang w:val="en-US"/>
              </w:rPr>
            </w:pPr>
          </w:p>
          <w:p w14:paraId="5AC1F0A7" w14:textId="77777777" w:rsidR="00F2717A" w:rsidRPr="0077076F" w:rsidRDefault="00F2717A" w:rsidP="00F2717A">
            <w:pPr>
              <w:spacing w:line="240" w:lineRule="auto"/>
              <w:rPr>
                <w:rFonts w:cs="Times New Roman"/>
                <w:sz w:val="26"/>
                <w:szCs w:val="26"/>
                <w:lang w:val="en-US"/>
              </w:rPr>
            </w:pPr>
          </w:p>
        </w:tc>
        <w:tc>
          <w:tcPr>
            <w:tcW w:w="2835" w:type="dxa"/>
          </w:tcPr>
          <w:p w14:paraId="5D3A1AC5" w14:textId="77777777" w:rsidR="00F2717A" w:rsidRPr="0077076F" w:rsidRDefault="00F2717A" w:rsidP="00F2717A">
            <w:pPr>
              <w:spacing w:line="240" w:lineRule="auto"/>
              <w:rPr>
                <w:rFonts w:cs="Times New Roman"/>
                <w:sz w:val="26"/>
                <w:szCs w:val="26"/>
              </w:rPr>
            </w:pPr>
            <w:r w:rsidRPr="0077076F">
              <w:rPr>
                <w:rFonts w:cs="Times New Roman"/>
                <w:sz w:val="26"/>
                <w:szCs w:val="26"/>
                <w:shd w:val="clear" w:color="auto" w:fill="FFFFFF"/>
                <w:lang w:val="en-US"/>
              </w:rPr>
              <w:t>Tầng 1, Trung tâm thương mại Vincom Bắc Kan, Phường Đức Xuân, tỉnh Thái Nguyên (trước là Phường Đức Xuân, thành phố Bắc Kan, tỉnh Bắc Kan)</w:t>
            </w:r>
          </w:p>
        </w:tc>
        <w:tc>
          <w:tcPr>
            <w:tcW w:w="2127" w:type="dxa"/>
            <w:vAlign w:val="center"/>
          </w:tcPr>
          <w:p w14:paraId="1921EB2F" w14:textId="77777777" w:rsidR="00F2717A" w:rsidRPr="0077076F" w:rsidRDefault="00F2717A" w:rsidP="00F2717A">
            <w:pPr>
              <w:spacing w:line="240" w:lineRule="auto"/>
              <w:rPr>
                <w:rFonts w:cs="Times New Roman"/>
                <w:sz w:val="26"/>
                <w:szCs w:val="26"/>
                <w:lang w:val="en-US"/>
              </w:rPr>
            </w:pPr>
          </w:p>
        </w:tc>
      </w:tr>
      <w:tr w:rsidR="00F2717A" w:rsidRPr="0077076F" w14:paraId="292F3089" w14:textId="77777777" w:rsidTr="00D41E96">
        <w:tc>
          <w:tcPr>
            <w:tcW w:w="746" w:type="dxa"/>
            <w:vAlign w:val="center"/>
          </w:tcPr>
          <w:p w14:paraId="7C3209EA" w14:textId="77777777" w:rsidR="00F2717A" w:rsidRPr="0077076F" w:rsidRDefault="00F2717A" w:rsidP="00F2717A">
            <w:pPr>
              <w:spacing w:line="240" w:lineRule="auto"/>
              <w:jc w:val="center"/>
              <w:rPr>
                <w:rFonts w:cs="Times New Roman"/>
                <w:sz w:val="26"/>
                <w:szCs w:val="26"/>
                <w:lang w:val="en-US"/>
              </w:rPr>
            </w:pPr>
            <w:r w:rsidRPr="0077076F">
              <w:rPr>
                <w:rFonts w:cs="Times New Roman"/>
                <w:sz w:val="26"/>
                <w:szCs w:val="26"/>
                <w:lang w:val="en-US"/>
              </w:rPr>
              <w:t>4</w:t>
            </w:r>
          </w:p>
        </w:tc>
        <w:tc>
          <w:tcPr>
            <w:tcW w:w="3785" w:type="dxa"/>
            <w:vAlign w:val="center"/>
          </w:tcPr>
          <w:p w14:paraId="26B35863" w14:textId="77777777" w:rsidR="00F2717A" w:rsidRPr="0077076F" w:rsidRDefault="00F2717A" w:rsidP="00F2717A">
            <w:pPr>
              <w:spacing w:line="240" w:lineRule="auto"/>
              <w:rPr>
                <w:rFonts w:cs="Times New Roman"/>
                <w:sz w:val="26"/>
                <w:szCs w:val="26"/>
              </w:rPr>
            </w:pPr>
            <w:r w:rsidRPr="0077076F">
              <w:rPr>
                <w:rFonts w:cs="Times New Roman"/>
                <w:sz w:val="26"/>
                <w:szCs w:val="26"/>
                <w:lang w:val="en-US"/>
              </w:rPr>
              <w:t>Công ty Cổ phần Giáo dục và Đào tạo Hương Sen</w:t>
            </w:r>
          </w:p>
        </w:tc>
        <w:tc>
          <w:tcPr>
            <w:tcW w:w="2835" w:type="dxa"/>
            <w:vAlign w:val="center"/>
          </w:tcPr>
          <w:p w14:paraId="4952838A" w14:textId="77777777" w:rsidR="00F2717A" w:rsidRPr="0077076F" w:rsidRDefault="00F2717A" w:rsidP="00F2717A">
            <w:pPr>
              <w:spacing w:line="240" w:lineRule="auto"/>
              <w:rPr>
                <w:rFonts w:cs="Times New Roman"/>
                <w:sz w:val="26"/>
                <w:szCs w:val="26"/>
                <w:lang w:val="en-US"/>
              </w:rPr>
            </w:pPr>
            <w:r w:rsidRPr="0077076F">
              <w:rPr>
                <w:rFonts w:cs="Times New Roman"/>
                <w:spacing w:val="-4"/>
                <w:sz w:val="26"/>
                <w:szCs w:val="26"/>
              </w:rPr>
              <w:t>Số 634</w:t>
            </w:r>
            <w:r w:rsidRPr="0077076F">
              <w:rPr>
                <w:rFonts w:cs="Times New Roman"/>
                <w:spacing w:val="-4"/>
                <w:sz w:val="26"/>
                <w:szCs w:val="26"/>
                <w:lang w:val="en-US"/>
              </w:rPr>
              <w:t>,</w:t>
            </w:r>
            <w:r w:rsidRPr="0077076F">
              <w:rPr>
                <w:rFonts w:cs="Times New Roman"/>
                <w:spacing w:val="-4"/>
                <w:sz w:val="26"/>
                <w:szCs w:val="26"/>
              </w:rPr>
              <w:t xml:space="preserve"> đường Lương Ngọc Quyến, </w:t>
            </w:r>
            <w:r w:rsidRPr="0077076F">
              <w:rPr>
                <w:rFonts w:cs="Times New Roman"/>
                <w:spacing w:val="-4"/>
                <w:sz w:val="26"/>
                <w:szCs w:val="26"/>
                <w:lang w:val="en-US"/>
              </w:rPr>
              <w:t>phường Phan Đình Phùng</w:t>
            </w:r>
            <w:r w:rsidRPr="0077076F">
              <w:rPr>
                <w:rFonts w:cs="Times New Roman"/>
                <w:spacing w:val="-4"/>
                <w:sz w:val="26"/>
                <w:szCs w:val="26"/>
              </w:rPr>
              <w:t xml:space="preserve">, tỉnh Thái Nguyên </w:t>
            </w:r>
          </w:p>
        </w:tc>
        <w:tc>
          <w:tcPr>
            <w:tcW w:w="2127" w:type="dxa"/>
            <w:vAlign w:val="center"/>
          </w:tcPr>
          <w:p w14:paraId="7D8D1A19" w14:textId="77777777" w:rsidR="00F2717A" w:rsidRPr="0077076F" w:rsidRDefault="00F2717A" w:rsidP="00F2717A">
            <w:pPr>
              <w:spacing w:line="240" w:lineRule="auto"/>
              <w:rPr>
                <w:rFonts w:cs="Times New Roman"/>
                <w:sz w:val="26"/>
                <w:szCs w:val="26"/>
                <w:lang w:val="en-US"/>
              </w:rPr>
            </w:pPr>
            <w:r w:rsidRPr="0077076F">
              <w:rPr>
                <w:rFonts w:cs="Times New Roman"/>
                <w:spacing w:val="-4"/>
                <w:sz w:val="26"/>
                <w:szCs w:val="26"/>
              </w:rPr>
              <w:t>0912.187.118</w:t>
            </w:r>
          </w:p>
        </w:tc>
      </w:tr>
      <w:tr w:rsidR="00F2717A" w:rsidRPr="0077076F" w14:paraId="617E6BE4" w14:textId="77777777" w:rsidTr="00D41E96">
        <w:tc>
          <w:tcPr>
            <w:tcW w:w="746" w:type="dxa"/>
            <w:vAlign w:val="center"/>
          </w:tcPr>
          <w:p w14:paraId="1265D090" w14:textId="77777777" w:rsidR="00F2717A" w:rsidRPr="0077076F" w:rsidRDefault="00F2717A" w:rsidP="00F2717A">
            <w:pPr>
              <w:spacing w:line="240" w:lineRule="auto"/>
              <w:jc w:val="center"/>
              <w:rPr>
                <w:rFonts w:cs="Times New Roman"/>
                <w:sz w:val="26"/>
                <w:szCs w:val="26"/>
                <w:lang w:val="en-US"/>
              </w:rPr>
            </w:pPr>
            <w:r w:rsidRPr="0077076F">
              <w:rPr>
                <w:rFonts w:cs="Times New Roman"/>
                <w:sz w:val="26"/>
                <w:szCs w:val="26"/>
                <w:lang w:val="en-US"/>
              </w:rPr>
              <w:t>5</w:t>
            </w:r>
          </w:p>
        </w:tc>
        <w:tc>
          <w:tcPr>
            <w:tcW w:w="3785" w:type="dxa"/>
            <w:vAlign w:val="center"/>
          </w:tcPr>
          <w:p w14:paraId="66FEE127" w14:textId="77777777" w:rsidR="00F2717A" w:rsidRPr="0077076F" w:rsidRDefault="00F2717A" w:rsidP="00F2717A">
            <w:pPr>
              <w:spacing w:line="240" w:lineRule="auto"/>
              <w:rPr>
                <w:rFonts w:cs="Times New Roman"/>
                <w:sz w:val="26"/>
                <w:szCs w:val="26"/>
              </w:rPr>
            </w:pPr>
            <w:r w:rsidRPr="0077076F">
              <w:rPr>
                <w:rFonts w:cs="Times New Roman"/>
                <w:sz w:val="26"/>
                <w:szCs w:val="26"/>
              </w:rPr>
              <w:t>Công ty Cổ phần Sách Thiết bị trường học Bắc Kạn</w:t>
            </w:r>
            <w:r w:rsidRPr="0077076F">
              <w:rPr>
                <w:rFonts w:cs="Times New Roman"/>
                <w:sz w:val="26"/>
                <w:szCs w:val="26"/>
              </w:rPr>
              <w:tab/>
            </w:r>
          </w:p>
        </w:tc>
        <w:tc>
          <w:tcPr>
            <w:tcW w:w="2835" w:type="dxa"/>
            <w:vAlign w:val="center"/>
          </w:tcPr>
          <w:p w14:paraId="5B1081E3" w14:textId="77777777" w:rsidR="00F2717A" w:rsidRPr="0077076F" w:rsidRDefault="00F2717A" w:rsidP="00F2717A">
            <w:pPr>
              <w:spacing w:line="240" w:lineRule="auto"/>
              <w:rPr>
                <w:rFonts w:cs="Times New Roman"/>
                <w:sz w:val="26"/>
                <w:szCs w:val="26"/>
                <w:lang w:val="en-US"/>
              </w:rPr>
            </w:pPr>
            <w:r w:rsidRPr="0077076F">
              <w:rPr>
                <w:rFonts w:eastAsia="Times New Roman" w:cs="Times New Roman"/>
                <w:sz w:val="26"/>
                <w:szCs w:val="26"/>
                <w:lang w:val="en-US"/>
              </w:rPr>
              <w:t>Phường Bắc Kạn, tỉnh Thái Nguyên (trước là Tổ 9B, phường Đức Xuân, TP Bắc Kan, tỉnh BK)</w:t>
            </w:r>
          </w:p>
        </w:tc>
        <w:tc>
          <w:tcPr>
            <w:tcW w:w="2127" w:type="dxa"/>
            <w:vAlign w:val="center"/>
          </w:tcPr>
          <w:p w14:paraId="2353D0CF" w14:textId="77777777" w:rsidR="00F2717A" w:rsidRPr="0077076F" w:rsidRDefault="00F2717A" w:rsidP="00F2717A">
            <w:pPr>
              <w:spacing w:line="240" w:lineRule="auto"/>
              <w:rPr>
                <w:rFonts w:cs="Times New Roman"/>
                <w:sz w:val="26"/>
                <w:szCs w:val="26"/>
              </w:rPr>
            </w:pPr>
            <w:r w:rsidRPr="0077076F">
              <w:rPr>
                <w:rFonts w:cs="Times New Roman"/>
                <w:sz w:val="26"/>
                <w:szCs w:val="26"/>
              </w:rPr>
              <w:t>0281.3871.177</w:t>
            </w:r>
          </w:p>
        </w:tc>
      </w:tr>
      <w:tr w:rsidR="00F2717A" w:rsidRPr="0077076F" w14:paraId="1AF91F45" w14:textId="77777777" w:rsidTr="00D41E96">
        <w:tc>
          <w:tcPr>
            <w:tcW w:w="746" w:type="dxa"/>
            <w:vAlign w:val="center"/>
          </w:tcPr>
          <w:p w14:paraId="49FDE9BC" w14:textId="77777777" w:rsidR="00F2717A" w:rsidRPr="0077076F" w:rsidRDefault="00F2717A" w:rsidP="00F2717A">
            <w:pPr>
              <w:spacing w:line="240" w:lineRule="auto"/>
              <w:jc w:val="center"/>
              <w:rPr>
                <w:rFonts w:cs="Times New Roman"/>
                <w:sz w:val="26"/>
                <w:szCs w:val="26"/>
              </w:rPr>
            </w:pPr>
            <w:r w:rsidRPr="0077076F">
              <w:rPr>
                <w:rFonts w:cs="Times New Roman"/>
                <w:sz w:val="26"/>
                <w:szCs w:val="26"/>
                <w:lang w:val="en-US"/>
              </w:rPr>
              <w:t>6</w:t>
            </w:r>
          </w:p>
        </w:tc>
        <w:tc>
          <w:tcPr>
            <w:tcW w:w="3785" w:type="dxa"/>
            <w:vAlign w:val="center"/>
          </w:tcPr>
          <w:p w14:paraId="2CFCBE52" w14:textId="77777777" w:rsidR="00F2717A" w:rsidRPr="0077076F" w:rsidRDefault="00F2717A" w:rsidP="00F2717A">
            <w:pPr>
              <w:spacing w:line="240" w:lineRule="auto"/>
              <w:rPr>
                <w:rFonts w:cs="Times New Roman"/>
                <w:sz w:val="26"/>
                <w:szCs w:val="26"/>
              </w:rPr>
            </w:pPr>
            <w:r w:rsidRPr="0077076F">
              <w:rPr>
                <w:rFonts w:cs="Times New Roman"/>
                <w:sz w:val="26"/>
                <w:szCs w:val="26"/>
                <w:shd w:val="clear" w:color="auto" w:fill="FFFFFF"/>
              </w:rPr>
              <w:t>Nhà sách Tiến Thọ</w:t>
            </w:r>
          </w:p>
        </w:tc>
        <w:tc>
          <w:tcPr>
            <w:tcW w:w="2835" w:type="dxa"/>
          </w:tcPr>
          <w:p w14:paraId="771E0E47" w14:textId="77777777" w:rsidR="00F2717A" w:rsidRPr="0077076F" w:rsidRDefault="00F2717A" w:rsidP="00F2717A">
            <w:pPr>
              <w:spacing w:line="240" w:lineRule="auto"/>
              <w:rPr>
                <w:rFonts w:cs="Times New Roman"/>
                <w:sz w:val="26"/>
                <w:szCs w:val="26"/>
                <w:lang w:val="en-US"/>
              </w:rPr>
            </w:pPr>
            <w:r w:rsidRPr="0077076F">
              <w:rPr>
                <w:rFonts w:cs="Times New Roman"/>
                <w:sz w:val="26"/>
                <w:szCs w:val="26"/>
                <w:shd w:val="clear" w:color="auto" w:fill="FFFFFF"/>
                <w:lang w:val="en-US"/>
              </w:rPr>
              <w:t>phường Phan Đình Phùng, tỉnh Thái Nguyên (trước là</w:t>
            </w:r>
            <w:r w:rsidRPr="0077076F">
              <w:rPr>
                <w:rFonts w:cs="Times New Roman"/>
                <w:sz w:val="26"/>
                <w:szCs w:val="26"/>
                <w:shd w:val="clear" w:color="auto" w:fill="FFFFFF"/>
              </w:rPr>
              <w:t xml:space="preserve"> </w:t>
            </w:r>
            <w:r w:rsidRPr="0077076F">
              <w:rPr>
                <w:rFonts w:cs="Times New Roman"/>
                <w:sz w:val="26"/>
                <w:szCs w:val="26"/>
                <w:shd w:val="clear" w:color="auto" w:fill="FFFFFF"/>
                <w:lang w:val="en-US"/>
              </w:rPr>
              <w:t>p</w:t>
            </w:r>
            <w:r w:rsidRPr="0077076F">
              <w:rPr>
                <w:rFonts w:cs="Times New Roman"/>
                <w:sz w:val="26"/>
                <w:szCs w:val="26"/>
                <w:shd w:val="clear" w:color="auto" w:fill="FFFFFF"/>
              </w:rPr>
              <w:t>hường Quang Trung, thành phố Thái Nguyên</w:t>
            </w:r>
            <w:r w:rsidRPr="0077076F">
              <w:rPr>
                <w:rFonts w:cs="Times New Roman"/>
                <w:sz w:val="26"/>
                <w:szCs w:val="26"/>
                <w:shd w:val="clear" w:color="auto" w:fill="FFFFFF"/>
                <w:lang w:val="en-US"/>
              </w:rPr>
              <w:t>)</w:t>
            </w:r>
          </w:p>
        </w:tc>
        <w:tc>
          <w:tcPr>
            <w:tcW w:w="2127" w:type="dxa"/>
            <w:vAlign w:val="center"/>
          </w:tcPr>
          <w:p w14:paraId="5716A65D" w14:textId="77777777" w:rsidR="00F2717A" w:rsidRPr="002A0E6D" w:rsidRDefault="00F2717A" w:rsidP="00F2717A">
            <w:pPr>
              <w:spacing w:line="240" w:lineRule="auto"/>
              <w:rPr>
                <w:rFonts w:cs="Times New Roman"/>
                <w:sz w:val="26"/>
                <w:szCs w:val="26"/>
                <w:lang w:val="en-US"/>
              </w:rPr>
            </w:pPr>
            <w:r>
              <w:rPr>
                <w:rFonts w:cs="Times New Roman"/>
                <w:sz w:val="26"/>
                <w:szCs w:val="26"/>
                <w:lang w:val="en-US"/>
              </w:rPr>
              <w:t>0974.373.023</w:t>
            </w:r>
          </w:p>
        </w:tc>
      </w:tr>
      <w:bookmarkEnd w:id="0"/>
    </w:tbl>
    <w:p w14:paraId="6231599B" w14:textId="77777777" w:rsidR="00F2717A" w:rsidRDefault="00F2717A" w:rsidP="00F2717A"/>
    <w:p w14:paraId="79728DA1" w14:textId="77777777" w:rsidR="009C170A" w:rsidRDefault="009C170A"/>
    <w:sectPr w:rsidR="009C170A" w:rsidSect="003C381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7A"/>
    <w:rsid w:val="003C381F"/>
    <w:rsid w:val="008B7889"/>
    <w:rsid w:val="009C170A"/>
    <w:rsid w:val="009E30EB"/>
    <w:rsid w:val="00B2678E"/>
    <w:rsid w:val="00F2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83D"/>
  <w15:chartTrackingRefBased/>
  <w15:docId w15:val="{50C21BCA-8D22-41E8-A7C4-88B84899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17A"/>
    <w:pPr>
      <w:spacing w:after="0" w:line="324" w:lineRule="auto"/>
      <w:jc w:val="both"/>
    </w:pPr>
  </w:style>
  <w:style w:type="paragraph" w:styleId="Heading1">
    <w:name w:val="heading 1"/>
    <w:basedOn w:val="Normal"/>
    <w:next w:val="Normal"/>
    <w:link w:val="Heading1Char"/>
    <w:uiPriority w:val="9"/>
    <w:qFormat/>
    <w:rsid w:val="00F2717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2717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2717A"/>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F2717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2717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2717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717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717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717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7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271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2717A"/>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F2717A"/>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2717A"/>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271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71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71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71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7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17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2717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271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717A"/>
    <w:rPr>
      <w:i/>
      <w:iCs/>
      <w:color w:val="404040" w:themeColor="text1" w:themeTint="BF"/>
    </w:rPr>
  </w:style>
  <w:style w:type="paragraph" w:styleId="ListParagraph">
    <w:name w:val="List Paragraph"/>
    <w:basedOn w:val="Normal"/>
    <w:uiPriority w:val="34"/>
    <w:qFormat/>
    <w:rsid w:val="00F2717A"/>
    <w:pPr>
      <w:ind w:left="720"/>
      <w:contextualSpacing/>
    </w:pPr>
  </w:style>
  <w:style w:type="character" w:styleId="IntenseEmphasis">
    <w:name w:val="Intense Emphasis"/>
    <w:basedOn w:val="DefaultParagraphFont"/>
    <w:uiPriority w:val="21"/>
    <w:qFormat/>
    <w:rsid w:val="00F2717A"/>
    <w:rPr>
      <w:i/>
      <w:iCs/>
      <w:color w:val="365F91" w:themeColor="accent1" w:themeShade="BF"/>
    </w:rPr>
  </w:style>
  <w:style w:type="paragraph" w:styleId="IntenseQuote">
    <w:name w:val="Intense Quote"/>
    <w:basedOn w:val="Normal"/>
    <w:next w:val="Normal"/>
    <w:link w:val="IntenseQuoteChar"/>
    <w:uiPriority w:val="30"/>
    <w:qFormat/>
    <w:rsid w:val="00F2717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2717A"/>
    <w:rPr>
      <w:i/>
      <w:iCs/>
      <w:color w:val="365F91" w:themeColor="accent1" w:themeShade="BF"/>
    </w:rPr>
  </w:style>
  <w:style w:type="character" w:styleId="IntenseReference">
    <w:name w:val="Intense Reference"/>
    <w:basedOn w:val="DefaultParagraphFont"/>
    <w:uiPriority w:val="32"/>
    <w:qFormat/>
    <w:rsid w:val="00F2717A"/>
    <w:rPr>
      <w:b/>
      <w:bCs/>
      <w:smallCaps/>
      <w:color w:val="365F91" w:themeColor="accent1" w:themeShade="BF"/>
      <w:spacing w:val="5"/>
    </w:rPr>
  </w:style>
  <w:style w:type="table" w:styleId="TableGrid">
    <w:name w:val="Table Grid"/>
    <w:basedOn w:val="TableNormal"/>
    <w:uiPriority w:val="59"/>
    <w:rsid w:val="00F2717A"/>
    <w:pPr>
      <w:spacing w:after="0" w:line="240" w:lineRule="auto"/>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2</cp:revision>
  <dcterms:created xsi:type="dcterms:W3CDTF">2026-01-13T10:30:00Z</dcterms:created>
  <dcterms:modified xsi:type="dcterms:W3CDTF">2026-02-25T02:10:00Z</dcterms:modified>
</cp:coreProperties>
</file>